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0466" w:rsidRPr="00262EA4" w:rsidRDefault="002E0466" w:rsidP="002E0466">
      <w:pPr>
        <w:spacing w:after="0" w:line="240" w:lineRule="auto"/>
        <w:jc w:val="center"/>
        <w:rPr>
          <w:rFonts w:eastAsia="Calibri" w:cstheme="minorHAnsi"/>
          <w:b/>
          <w:bCs/>
          <w:sz w:val="24"/>
          <w:szCs w:val="24"/>
        </w:rPr>
      </w:pPr>
      <w:r w:rsidRPr="00262EA4">
        <w:rPr>
          <w:rFonts w:eastAsia="Calibri" w:cstheme="minorHAnsi"/>
          <w:b/>
          <w:bCs/>
          <w:color w:val="002060"/>
          <w:sz w:val="40"/>
          <w:szCs w:val="40"/>
        </w:rPr>
        <w:t>SOUTHEAST CLIMATE SCIENCE CENTER</w:t>
      </w:r>
    </w:p>
    <w:p w:rsidR="002E0466" w:rsidRDefault="002E0466" w:rsidP="002E0466">
      <w:pPr>
        <w:spacing w:after="0" w:line="240" w:lineRule="auto"/>
        <w:ind w:left="2880" w:hanging="2880"/>
        <w:rPr>
          <w:rFonts w:cstheme="minorHAnsi"/>
          <w:b/>
          <w:sz w:val="24"/>
          <w:szCs w:val="24"/>
        </w:rPr>
      </w:pPr>
    </w:p>
    <w:p w:rsidR="002E0466" w:rsidRPr="00F30E6D" w:rsidRDefault="002E0466" w:rsidP="002E0466">
      <w:pPr>
        <w:spacing w:after="0" w:line="240" w:lineRule="auto"/>
        <w:ind w:left="2880" w:hanging="2880"/>
        <w:rPr>
          <w:rFonts w:cstheme="minorHAnsi"/>
          <w:b/>
          <w:sz w:val="24"/>
          <w:szCs w:val="24"/>
        </w:rPr>
      </w:pPr>
      <w:r w:rsidRPr="00F30E6D">
        <w:rPr>
          <w:rFonts w:cstheme="minorHAnsi"/>
          <w:b/>
          <w:sz w:val="24"/>
          <w:szCs w:val="24"/>
        </w:rPr>
        <w:t>This Funding Opportunity addresses funding for both FY 2013 and FY 2014</w:t>
      </w:r>
    </w:p>
    <w:p w:rsidR="002E0466" w:rsidRPr="00F30E6D" w:rsidRDefault="002E0466" w:rsidP="002E0466">
      <w:pPr>
        <w:spacing w:after="0" w:line="240" w:lineRule="auto"/>
        <w:ind w:left="2880" w:hanging="2880"/>
        <w:jc w:val="center"/>
        <w:rPr>
          <w:rFonts w:cstheme="minorHAnsi"/>
          <w:b/>
          <w:sz w:val="24"/>
          <w:szCs w:val="24"/>
        </w:rPr>
      </w:pPr>
    </w:p>
    <w:p w:rsidR="002E0466" w:rsidRPr="00F30E6D" w:rsidRDefault="002E0466" w:rsidP="002E0466">
      <w:pPr>
        <w:spacing w:after="120" w:line="240" w:lineRule="auto"/>
        <w:ind w:left="2880" w:hanging="2880"/>
        <w:rPr>
          <w:rFonts w:cstheme="minorHAnsi"/>
          <w:sz w:val="24"/>
          <w:szCs w:val="24"/>
        </w:rPr>
      </w:pPr>
      <w:r w:rsidRPr="00F30E6D">
        <w:rPr>
          <w:rFonts w:cstheme="minorHAnsi"/>
          <w:b/>
          <w:sz w:val="24"/>
          <w:szCs w:val="24"/>
        </w:rPr>
        <w:t>Eligible Applicants:</w:t>
      </w:r>
      <w:r w:rsidRPr="00F30E6D">
        <w:rPr>
          <w:rFonts w:cstheme="minorHAnsi"/>
          <w:sz w:val="24"/>
          <w:szCs w:val="24"/>
        </w:rPr>
        <w:tab/>
        <w:t xml:space="preserve">Only investigators from North Carolina State and USGS science centers, </w:t>
      </w:r>
      <w:r>
        <w:rPr>
          <w:rFonts w:cstheme="minorHAnsi"/>
          <w:sz w:val="24"/>
          <w:szCs w:val="24"/>
        </w:rPr>
        <w:t xml:space="preserve">Cooperative Research Units, </w:t>
      </w:r>
      <w:r w:rsidRPr="00F30E6D">
        <w:rPr>
          <w:rFonts w:cstheme="minorHAnsi"/>
          <w:sz w:val="24"/>
          <w:szCs w:val="24"/>
        </w:rPr>
        <w:t xml:space="preserve">field stations and laboratories may submit proposals in response to this Funding Opportunity. Other parties may participate on funded projects via subawards from proposals with NCSU or USGS principal investigators. </w:t>
      </w:r>
    </w:p>
    <w:p w:rsidR="002E0466" w:rsidRPr="00F30E6D" w:rsidRDefault="002E0466" w:rsidP="002E0466">
      <w:pPr>
        <w:spacing w:after="120" w:line="240" w:lineRule="auto"/>
        <w:ind w:left="2880" w:hanging="2880"/>
        <w:rPr>
          <w:rFonts w:cstheme="minorHAnsi"/>
          <w:sz w:val="24"/>
          <w:szCs w:val="24"/>
        </w:rPr>
      </w:pPr>
      <w:r>
        <w:rPr>
          <w:rFonts w:eastAsia="Calibri" w:cstheme="minorHAnsi"/>
          <w:b/>
          <w:sz w:val="24"/>
          <w:szCs w:val="24"/>
        </w:rPr>
        <w:t>Funding process</w:t>
      </w:r>
      <w:r w:rsidRPr="00F30E6D">
        <w:rPr>
          <w:rFonts w:eastAsia="Calibri" w:cstheme="minorHAnsi"/>
          <w:b/>
          <w:sz w:val="24"/>
          <w:szCs w:val="24"/>
        </w:rPr>
        <w:t>:</w:t>
      </w:r>
      <w:r w:rsidRPr="00F30E6D">
        <w:rPr>
          <w:rFonts w:eastAsia="Calibri" w:cstheme="minorHAnsi"/>
          <w:sz w:val="24"/>
          <w:szCs w:val="24"/>
        </w:rPr>
        <w:t xml:space="preserve"> </w:t>
      </w:r>
      <w:r w:rsidRPr="00F30E6D">
        <w:rPr>
          <w:rFonts w:eastAsia="Calibri" w:cstheme="minorHAnsi"/>
          <w:sz w:val="24"/>
          <w:szCs w:val="24"/>
        </w:rPr>
        <w:tab/>
        <w:t xml:space="preserve">All funds will be transferred from </w:t>
      </w:r>
      <w:r w:rsidRPr="00F30E6D">
        <w:rPr>
          <w:rFonts w:cstheme="minorHAnsi"/>
          <w:sz w:val="24"/>
          <w:szCs w:val="24"/>
        </w:rPr>
        <w:t>the Southeast Climate Science Center</w:t>
      </w:r>
      <w:r w:rsidRPr="00F30E6D">
        <w:rPr>
          <w:rFonts w:eastAsia="Calibri" w:cstheme="minorHAnsi"/>
          <w:sz w:val="24"/>
          <w:szCs w:val="24"/>
        </w:rPr>
        <w:t xml:space="preserve"> to either a USGS entity or North Carolina State University. These entities may then provide subawards to members of the CSC consortium or other parties.  </w:t>
      </w:r>
    </w:p>
    <w:p w:rsidR="002E0466" w:rsidRPr="00F30E6D" w:rsidRDefault="002E0466" w:rsidP="002E0466">
      <w:pPr>
        <w:spacing w:after="120" w:line="240" w:lineRule="auto"/>
        <w:ind w:left="2880" w:hanging="2880"/>
        <w:rPr>
          <w:rFonts w:cstheme="minorHAnsi"/>
          <w:sz w:val="24"/>
          <w:szCs w:val="24"/>
        </w:rPr>
      </w:pPr>
      <w:r w:rsidRPr="00F30E6D">
        <w:rPr>
          <w:rFonts w:cstheme="minorHAnsi"/>
          <w:b/>
          <w:sz w:val="24"/>
          <w:szCs w:val="24"/>
        </w:rPr>
        <w:t>Estimated Available Funds:</w:t>
      </w:r>
      <w:r w:rsidRPr="00F30E6D">
        <w:rPr>
          <w:rFonts w:cstheme="minorHAnsi"/>
          <w:sz w:val="24"/>
          <w:szCs w:val="24"/>
        </w:rPr>
        <w:tab/>
        <w:t>Approximately $300,000 may be available to fund projects that support Southeast CSC science priorities in Fiscal Year 2013.</w:t>
      </w:r>
    </w:p>
    <w:p w:rsidR="002E0466" w:rsidRPr="00F30E6D" w:rsidRDefault="002E0466" w:rsidP="002E0466">
      <w:pPr>
        <w:spacing w:after="120" w:line="240" w:lineRule="auto"/>
        <w:ind w:left="2880"/>
        <w:rPr>
          <w:rFonts w:cstheme="minorHAnsi"/>
          <w:sz w:val="24"/>
          <w:szCs w:val="24"/>
        </w:rPr>
      </w:pPr>
      <w:r w:rsidRPr="00F30E6D">
        <w:rPr>
          <w:rFonts w:cstheme="minorHAnsi"/>
          <w:sz w:val="24"/>
          <w:szCs w:val="24"/>
        </w:rPr>
        <w:t>Approximately $300,000 may be available to fund projects that support Southeast CSC science priorities in Fiscal Year 2014.</w:t>
      </w:r>
    </w:p>
    <w:p w:rsidR="002E0466" w:rsidRPr="00F30E6D" w:rsidRDefault="002E0466" w:rsidP="002E0466">
      <w:pPr>
        <w:spacing w:after="120" w:line="240" w:lineRule="auto"/>
        <w:ind w:left="2880" w:hanging="2880"/>
        <w:rPr>
          <w:rFonts w:cstheme="minorHAnsi"/>
          <w:sz w:val="24"/>
          <w:szCs w:val="24"/>
        </w:rPr>
      </w:pPr>
      <w:r w:rsidRPr="00F30E6D">
        <w:rPr>
          <w:rFonts w:cstheme="minorHAnsi"/>
          <w:b/>
          <w:sz w:val="24"/>
          <w:szCs w:val="24"/>
        </w:rPr>
        <w:t>Project funding amount:</w:t>
      </w:r>
      <w:r w:rsidRPr="00F30E6D">
        <w:rPr>
          <w:rFonts w:cstheme="minorHAnsi"/>
          <w:sz w:val="24"/>
          <w:szCs w:val="24"/>
        </w:rPr>
        <w:tab/>
        <w:t>Individual project funds will not exceed a total of $150,000 per year.</w:t>
      </w:r>
    </w:p>
    <w:p w:rsidR="002E0466" w:rsidRPr="00F30E6D" w:rsidRDefault="002E0466" w:rsidP="002E0466">
      <w:pPr>
        <w:spacing w:after="120" w:line="240" w:lineRule="auto"/>
        <w:ind w:left="2880" w:hanging="2880"/>
        <w:rPr>
          <w:rFonts w:cstheme="minorHAnsi"/>
          <w:sz w:val="24"/>
          <w:szCs w:val="24"/>
        </w:rPr>
      </w:pPr>
      <w:r w:rsidRPr="00F30E6D">
        <w:rPr>
          <w:rFonts w:cstheme="minorHAnsi"/>
          <w:b/>
          <w:sz w:val="24"/>
          <w:szCs w:val="24"/>
        </w:rPr>
        <w:t>Project Duration:</w:t>
      </w:r>
      <w:r w:rsidRPr="00F30E6D">
        <w:rPr>
          <w:rFonts w:cstheme="minorHAnsi"/>
          <w:sz w:val="24"/>
          <w:szCs w:val="24"/>
        </w:rPr>
        <w:tab/>
        <w:t>Not to exceed 24 months.</w:t>
      </w:r>
    </w:p>
    <w:p w:rsidR="002E0466" w:rsidRPr="00F30E6D" w:rsidRDefault="002E0466" w:rsidP="002E0466">
      <w:pPr>
        <w:spacing w:after="0" w:line="240" w:lineRule="auto"/>
        <w:ind w:left="2880" w:hanging="2880"/>
        <w:rPr>
          <w:rFonts w:cstheme="minorHAnsi"/>
          <w:sz w:val="24"/>
          <w:szCs w:val="24"/>
        </w:rPr>
      </w:pPr>
      <w:r>
        <w:rPr>
          <w:rFonts w:cstheme="minorHAnsi"/>
          <w:b/>
          <w:sz w:val="24"/>
          <w:szCs w:val="24"/>
        </w:rPr>
        <w:t>SE</w:t>
      </w:r>
      <w:r w:rsidRPr="00F30E6D">
        <w:rPr>
          <w:rFonts w:cstheme="minorHAnsi"/>
          <w:b/>
          <w:sz w:val="24"/>
          <w:szCs w:val="24"/>
        </w:rPr>
        <w:t xml:space="preserve"> CSC Contact:</w:t>
      </w:r>
      <w:r w:rsidRPr="00F30E6D">
        <w:rPr>
          <w:rFonts w:cstheme="minorHAnsi"/>
          <w:sz w:val="24"/>
          <w:szCs w:val="24"/>
        </w:rPr>
        <w:tab/>
        <w:t>Dr. Gerard McMahon, Director</w:t>
      </w:r>
    </w:p>
    <w:p w:rsidR="002E0466" w:rsidRPr="00F30E6D" w:rsidRDefault="002E0466" w:rsidP="002E0466">
      <w:pPr>
        <w:spacing w:after="0" w:line="240" w:lineRule="auto"/>
        <w:ind w:left="2880"/>
        <w:rPr>
          <w:rFonts w:cstheme="minorHAnsi"/>
          <w:sz w:val="24"/>
          <w:szCs w:val="24"/>
        </w:rPr>
      </w:pPr>
      <w:r w:rsidRPr="00F30E6D">
        <w:rPr>
          <w:rFonts w:cstheme="minorHAnsi"/>
          <w:sz w:val="24"/>
          <w:szCs w:val="24"/>
        </w:rPr>
        <w:t>Southeast Climate Science Center</w:t>
      </w:r>
    </w:p>
    <w:p w:rsidR="002E0466" w:rsidRPr="00F30E6D" w:rsidRDefault="002E0466" w:rsidP="002E0466">
      <w:pPr>
        <w:spacing w:after="0" w:line="240" w:lineRule="auto"/>
        <w:ind w:left="2880"/>
        <w:rPr>
          <w:rFonts w:cstheme="minorHAnsi"/>
          <w:sz w:val="24"/>
          <w:szCs w:val="24"/>
        </w:rPr>
      </w:pPr>
      <w:r w:rsidRPr="00F30E6D">
        <w:rPr>
          <w:rFonts w:cstheme="minorHAnsi"/>
          <w:sz w:val="24"/>
          <w:szCs w:val="24"/>
        </w:rPr>
        <w:t>127 David Clark Labs, Department of Biology</w:t>
      </w:r>
    </w:p>
    <w:p w:rsidR="002E0466" w:rsidRPr="00F30E6D" w:rsidRDefault="002E0466" w:rsidP="002E0466">
      <w:pPr>
        <w:spacing w:after="0" w:line="240" w:lineRule="auto"/>
        <w:ind w:left="2880"/>
        <w:rPr>
          <w:rFonts w:cstheme="minorHAnsi"/>
          <w:sz w:val="24"/>
          <w:szCs w:val="24"/>
        </w:rPr>
      </w:pPr>
      <w:r w:rsidRPr="00F30E6D">
        <w:rPr>
          <w:rFonts w:cstheme="minorHAnsi"/>
          <w:sz w:val="24"/>
          <w:szCs w:val="24"/>
        </w:rPr>
        <w:t>North Carolina State University</w:t>
      </w:r>
    </w:p>
    <w:p w:rsidR="002E0466" w:rsidRPr="00F30E6D" w:rsidRDefault="002E0466" w:rsidP="002E0466">
      <w:pPr>
        <w:spacing w:after="0" w:line="240" w:lineRule="auto"/>
        <w:ind w:left="2880"/>
        <w:rPr>
          <w:rFonts w:cstheme="minorHAnsi"/>
          <w:sz w:val="24"/>
          <w:szCs w:val="24"/>
        </w:rPr>
      </w:pPr>
      <w:r w:rsidRPr="00F30E6D">
        <w:rPr>
          <w:rFonts w:cstheme="minorHAnsi"/>
          <w:sz w:val="24"/>
          <w:szCs w:val="24"/>
        </w:rPr>
        <w:t>Raleigh, NC 27695-7617</w:t>
      </w:r>
    </w:p>
    <w:p w:rsidR="002E0466" w:rsidRPr="00F30E6D" w:rsidRDefault="002E0466" w:rsidP="002E0466">
      <w:pPr>
        <w:spacing w:after="0" w:line="240" w:lineRule="auto"/>
        <w:ind w:left="2880"/>
        <w:rPr>
          <w:rFonts w:cstheme="minorHAnsi"/>
          <w:sz w:val="24"/>
          <w:szCs w:val="24"/>
        </w:rPr>
      </w:pPr>
      <w:r w:rsidRPr="00F30E6D">
        <w:rPr>
          <w:rFonts w:cstheme="minorHAnsi"/>
          <w:sz w:val="24"/>
          <w:szCs w:val="24"/>
        </w:rPr>
        <w:t>Office: 919-515-2229</w:t>
      </w:r>
    </w:p>
    <w:p w:rsidR="002E0466" w:rsidRPr="00F30E6D" w:rsidRDefault="002E0466" w:rsidP="002E0466">
      <w:pPr>
        <w:spacing w:after="120" w:line="240" w:lineRule="auto"/>
        <w:ind w:left="2880"/>
        <w:rPr>
          <w:rFonts w:cstheme="minorHAnsi"/>
          <w:sz w:val="24"/>
          <w:szCs w:val="24"/>
        </w:rPr>
      </w:pPr>
      <w:r w:rsidRPr="00F30E6D">
        <w:rPr>
          <w:rFonts w:cstheme="minorHAnsi"/>
          <w:sz w:val="24"/>
          <w:szCs w:val="24"/>
        </w:rPr>
        <w:t>Email: gmcmahon@usgs</w:t>
      </w:r>
      <w:r>
        <w:rPr>
          <w:rFonts w:cstheme="minorHAnsi"/>
          <w:sz w:val="24"/>
          <w:szCs w:val="24"/>
        </w:rPr>
        <w:t>.</w:t>
      </w:r>
      <w:r w:rsidRPr="00F30E6D">
        <w:rPr>
          <w:rFonts w:cstheme="minorHAnsi"/>
          <w:sz w:val="24"/>
          <w:szCs w:val="24"/>
        </w:rPr>
        <w:t xml:space="preserve">gov </w:t>
      </w:r>
    </w:p>
    <w:p w:rsidR="002E0466" w:rsidRPr="00F30E6D" w:rsidRDefault="002E0466" w:rsidP="002E0466">
      <w:pPr>
        <w:spacing w:after="120" w:line="240" w:lineRule="auto"/>
        <w:jc w:val="both"/>
        <w:rPr>
          <w:b/>
          <w:sz w:val="24"/>
          <w:szCs w:val="24"/>
        </w:rPr>
      </w:pPr>
      <w:r w:rsidRPr="00467E05">
        <w:rPr>
          <w:b/>
          <w:sz w:val="24"/>
          <w:szCs w:val="24"/>
        </w:rPr>
        <w:t xml:space="preserve">Submission Portal: </w:t>
      </w:r>
      <w:r w:rsidRPr="00467E05">
        <w:rPr>
          <w:b/>
          <w:sz w:val="24"/>
          <w:szCs w:val="24"/>
        </w:rPr>
        <w:tab/>
      </w:r>
      <w:r w:rsidRPr="00467E05">
        <w:rPr>
          <w:b/>
          <w:sz w:val="24"/>
          <w:szCs w:val="24"/>
        </w:rPr>
        <w:tab/>
        <w:t>HTTPS://NCCWSC.USGS.GOV/RESEARCHFUNDS</w:t>
      </w:r>
    </w:p>
    <w:p w:rsidR="002E0466" w:rsidRPr="00467E05" w:rsidRDefault="002E0466" w:rsidP="002E0466">
      <w:pPr>
        <w:spacing w:after="0" w:line="240" w:lineRule="auto"/>
        <w:rPr>
          <w:sz w:val="24"/>
          <w:szCs w:val="24"/>
        </w:rPr>
      </w:pPr>
      <w:r w:rsidRPr="00467E05">
        <w:rPr>
          <w:b/>
          <w:sz w:val="24"/>
          <w:szCs w:val="24"/>
        </w:rPr>
        <w:t xml:space="preserve">Science needs: </w:t>
      </w:r>
      <w:r w:rsidRPr="00467E05">
        <w:rPr>
          <w:sz w:val="24"/>
          <w:szCs w:val="24"/>
        </w:rPr>
        <w:t xml:space="preserve"> </w:t>
      </w:r>
    </w:p>
    <w:p w:rsidR="002E0466" w:rsidRPr="00467E05" w:rsidRDefault="002E0466" w:rsidP="002E0466">
      <w:pPr>
        <w:spacing w:after="0" w:line="240" w:lineRule="auto"/>
        <w:rPr>
          <w:iCs/>
          <w:sz w:val="24"/>
          <w:szCs w:val="24"/>
        </w:rPr>
      </w:pPr>
      <w:r w:rsidRPr="00467E05">
        <w:rPr>
          <w:sz w:val="24"/>
          <w:szCs w:val="24"/>
        </w:rPr>
        <w:t xml:space="preserve">The Southeast Climate Science Center (SECSC) is soliciting proposals for projects that show evidence of a clear linkage between proposed science and climate change adaptation decisions that affect the sustainability of </w:t>
      </w:r>
      <w:r w:rsidRPr="00467E05">
        <w:rPr>
          <w:iCs/>
          <w:sz w:val="24"/>
          <w:szCs w:val="24"/>
        </w:rPr>
        <w:t>fish, wildlife, and other natural and cultural resources.   Two</w:t>
      </w:r>
      <w:r w:rsidRPr="00467E05">
        <w:rPr>
          <w:rFonts w:cs="Times New Roman"/>
          <w:sz w:val="24"/>
          <w:szCs w:val="24"/>
        </w:rPr>
        <w:t xml:space="preserve"> types of climate-related management decision problems have been identified as priority SECSC concern in FY13/14.</w:t>
      </w:r>
    </w:p>
    <w:p w:rsidR="002E0466" w:rsidRPr="00467E05" w:rsidRDefault="002E0466" w:rsidP="002E0466">
      <w:pPr>
        <w:pStyle w:val="ListParagraph"/>
        <w:numPr>
          <w:ilvl w:val="0"/>
          <w:numId w:val="2"/>
        </w:numPr>
        <w:spacing w:after="0" w:line="240" w:lineRule="auto"/>
        <w:ind w:left="360"/>
        <w:rPr>
          <w:rFonts w:cstheme="minorHAnsi"/>
          <w:sz w:val="24"/>
          <w:szCs w:val="24"/>
        </w:rPr>
      </w:pPr>
      <w:r w:rsidRPr="00467E05">
        <w:rPr>
          <w:rFonts w:cstheme="minorHAnsi"/>
          <w:sz w:val="24"/>
          <w:szCs w:val="24"/>
        </w:rPr>
        <w:t>Conservation and water governance</w:t>
      </w:r>
    </w:p>
    <w:p w:rsidR="002E0466" w:rsidRPr="00467E05" w:rsidRDefault="002E0466" w:rsidP="002E0466">
      <w:pPr>
        <w:pStyle w:val="ListParagraph"/>
        <w:spacing w:after="0" w:line="240" w:lineRule="auto"/>
        <w:ind w:left="360"/>
        <w:rPr>
          <w:rFonts w:cstheme="minorHAnsi"/>
          <w:sz w:val="24"/>
          <w:szCs w:val="24"/>
        </w:rPr>
      </w:pPr>
    </w:p>
    <w:p w:rsidR="002E0466" w:rsidRPr="00467E05" w:rsidRDefault="002E0466" w:rsidP="002E0466">
      <w:pPr>
        <w:spacing w:after="0" w:line="240" w:lineRule="auto"/>
        <w:rPr>
          <w:rFonts w:cs="Times New Roman"/>
          <w:sz w:val="24"/>
          <w:szCs w:val="24"/>
        </w:rPr>
      </w:pPr>
      <w:r w:rsidRPr="00467E05">
        <w:rPr>
          <w:rFonts w:cs="Times New Roman"/>
          <w:sz w:val="24"/>
          <w:szCs w:val="24"/>
        </w:rPr>
        <w:t>Water governance decisions are often characterized by conflicts over how to prioritize and balance diverse societal water uses with the needs of fish and wildlife resources (and the services they provide).  This has been especially true in the Southeast,</w:t>
      </w:r>
      <w:r w:rsidRPr="00467E05">
        <w:rPr>
          <w:rFonts w:cs="Times New Roman"/>
          <w:color w:val="000000"/>
          <w:sz w:val="24"/>
          <w:szCs w:val="24"/>
        </w:rPr>
        <w:t xml:space="preserve"> a region that has seen </w:t>
      </w:r>
      <w:r w:rsidRPr="00467E05">
        <w:rPr>
          <w:rFonts w:cs="Times New Roman"/>
          <w:color w:val="000000"/>
          <w:sz w:val="24"/>
          <w:szCs w:val="24"/>
        </w:rPr>
        <w:lastRenderedPageBreak/>
        <w:t xml:space="preserve">limited success reconciling conservation of fish and wildlife resources with other water uses despite over four feet of annual rainfall.  Proposed research should address the challenges of incorporating fish and wildlife conservation into the larger context of water governance at the river basin scale, which encompasses a broad range of social, economic, and aesthetic values. </w:t>
      </w:r>
    </w:p>
    <w:p w:rsidR="002E0466" w:rsidRPr="00467E05" w:rsidRDefault="002E0466" w:rsidP="002E0466">
      <w:pPr>
        <w:spacing w:after="0" w:line="240" w:lineRule="auto"/>
        <w:rPr>
          <w:rFonts w:cs="Times New Roman"/>
          <w:color w:val="000000"/>
          <w:sz w:val="24"/>
          <w:szCs w:val="24"/>
        </w:rPr>
      </w:pPr>
    </w:p>
    <w:p w:rsidR="002E0466" w:rsidRPr="00467E05" w:rsidRDefault="002E0466" w:rsidP="002E0466">
      <w:pPr>
        <w:pStyle w:val="ListParagraph"/>
        <w:numPr>
          <w:ilvl w:val="0"/>
          <w:numId w:val="2"/>
        </w:numPr>
        <w:spacing w:after="0" w:line="240" w:lineRule="auto"/>
        <w:ind w:left="360"/>
        <w:rPr>
          <w:rFonts w:cs="Times New Roman"/>
          <w:color w:val="000000"/>
          <w:sz w:val="24"/>
          <w:szCs w:val="24"/>
        </w:rPr>
      </w:pPr>
      <w:r w:rsidRPr="00467E05">
        <w:rPr>
          <w:rFonts w:cs="Times New Roman"/>
          <w:color w:val="000000"/>
          <w:sz w:val="24"/>
          <w:szCs w:val="24"/>
        </w:rPr>
        <w:t>Local-scale climate adaptation decision problem</w:t>
      </w:r>
    </w:p>
    <w:p w:rsidR="002E0466" w:rsidRPr="00467E05" w:rsidRDefault="002E0466" w:rsidP="002E0466">
      <w:pPr>
        <w:pStyle w:val="ListParagraph"/>
        <w:spacing w:after="0" w:line="240" w:lineRule="auto"/>
        <w:rPr>
          <w:sz w:val="24"/>
          <w:szCs w:val="24"/>
        </w:rPr>
      </w:pPr>
    </w:p>
    <w:p w:rsidR="002E0466" w:rsidRPr="00467E05" w:rsidRDefault="002E0466" w:rsidP="002E0466">
      <w:pPr>
        <w:pStyle w:val="ListParagraph"/>
        <w:spacing w:after="0" w:line="240" w:lineRule="auto"/>
        <w:ind w:left="0"/>
        <w:rPr>
          <w:sz w:val="24"/>
          <w:szCs w:val="24"/>
        </w:rPr>
      </w:pPr>
      <w:r w:rsidRPr="00467E05">
        <w:rPr>
          <w:rFonts w:cstheme="minorHAnsi"/>
          <w:sz w:val="24"/>
          <w:szCs w:val="24"/>
        </w:rPr>
        <w:t xml:space="preserve">The southeastern U.S. has an abundance of public properties devoted to the conservation of natural and cultural resources, such as National and State Parks, National Wildlife Refuges, State Wildlife Management Areas, and many others.  Managers of these areas face the difficult challenge of understanding the potential impacts of climate change on the resources they are charged to protect, and of formulating effective mitigation and adaptation strategies.  Proposed research should indicate how structured decision-making will be used to frame a </w:t>
      </w:r>
      <w:r w:rsidRPr="00467E05">
        <w:rPr>
          <w:rFonts w:cstheme="minorHAnsi"/>
          <w:i/>
          <w:sz w:val="24"/>
          <w:szCs w:val="24"/>
        </w:rPr>
        <w:t>specific</w:t>
      </w:r>
      <w:r w:rsidRPr="00467E05">
        <w:rPr>
          <w:rFonts w:cstheme="minorHAnsi"/>
          <w:sz w:val="24"/>
          <w:szCs w:val="24"/>
        </w:rPr>
        <w:t xml:space="preserve"> decision problem, identify objectives, and define alternatives and tradeoffs necessary to identify effective mitigation or adaptation strategies.  The research may be focused on a single conservation area or on a common problem shared by multiple preserves.  </w:t>
      </w:r>
    </w:p>
    <w:p w:rsidR="002E0466" w:rsidRPr="00467E05" w:rsidRDefault="002E0466" w:rsidP="002E0466">
      <w:pPr>
        <w:pStyle w:val="ListParagraph"/>
        <w:spacing w:after="0" w:line="240" w:lineRule="auto"/>
        <w:ind w:left="0"/>
        <w:rPr>
          <w:rFonts w:cstheme="minorHAnsi"/>
          <w:sz w:val="24"/>
          <w:szCs w:val="24"/>
        </w:rPr>
      </w:pPr>
    </w:p>
    <w:p w:rsidR="002E0466" w:rsidRPr="00467E05" w:rsidRDefault="002E0466" w:rsidP="002E0466">
      <w:pPr>
        <w:pStyle w:val="ListParagraph"/>
        <w:spacing w:after="0" w:line="240" w:lineRule="auto"/>
        <w:ind w:left="0"/>
        <w:rPr>
          <w:rFonts w:cstheme="minorHAnsi"/>
          <w:sz w:val="24"/>
          <w:szCs w:val="24"/>
        </w:rPr>
      </w:pPr>
      <w:r w:rsidRPr="00467E05">
        <w:rPr>
          <w:rFonts w:cstheme="minorHAnsi"/>
          <w:b/>
          <w:sz w:val="24"/>
          <w:szCs w:val="24"/>
        </w:rPr>
        <w:t>Complete details on the SECSC Specific Proposal Specifications and Criteria</w:t>
      </w:r>
      <w:r w:rsidRPr="00467E05">
        <w:rPr>
          <w:rFonts w:cstheme="minorHAnsi"/>
          <w:sz w:val="24"/>
          <w:szCs w:val="24"/>
        </w:rPr>
        <w:t xml:space="preserve"> can be found at this URL:  HTTPS://NCCWSC.USGS.GOV/RESEARCHFUNDS</w:t>
      </w:r>
    </w:p>
    <w:p w:rsidR="002E0466" w:rsidRPr="00467E05" w:rsidRDefault="002E0466" w:rsidP="002E0466">
      <w:pPr>
        <w:pStyle w:val="ListParagraph"/>
        <w:spacing w:after="0" w:line="240" w:lineRule="auto"/>
        <w:rPr>
          <w:sz w:val="24"/>
          <w:szCs w:val="24"/>
        </w:rPr>
      </w:pPr>
      <w:r w:rsidRPr="00467E05">
        <w:rPr>
          <w:rFonts w:cstheme="minorHAnsi"/>
          <w:sz w:val="24"/>
          <w:szCs w:val="24"/>
        </w:rPr>
        <w:t xml:space="preserve"> </w:t>
      </w:r>
    </w:p>
    <w:p w:rsidR="002E0466" w:rsidRPr="00467E05" w:rsidRDefault="002E0466" w:rsidP="002E0466">
      <w:pPr>
        <w:spacing w:after="0" w:line="240" w:lineRule="auto"/>
        <w:rPr>
          <w:b/>
          <w:sz w:val="24"/>
          <w:szCs w:val="24"/>
        </w:rPr>
      </w:pPr>
      <w:r w:rsidRPr="00467E05">
        <w:rPr>
          <w:b/>
          <w:sz w:val="24"/>
          <w:szCs w:val="24"/>
        </w:rPr>
        <w:t>Additional Information</w:t>
      </w:r>
    </w:p>
    <w:p w:rsidR="002E0466" w:rsidRPr="00467E05" w:rsidRDefault="002E0466" w:rsidP="002E0466">
      <w:pPr>
        <w:pStyle w:val="ListParagraph"/>
        <w:numPr>
          <w:ilvl w:val="0"/>
          <w:numId w:val="1"/>
        </w:numPr>
        <w:spacing w:after="0" w:line="240" w:lineRule="auto"/>
        <w:rPr>
          <w:rFonts w:cstheme="minorHAnsi"/>
          <w:sz w:val="24"/>
          <w:szCs w:val="24"/>
        </w:rPr>
      </w:pPr>
      <w:r w:rsidRPr="00467E05">
        <w:rPr>
          <w:rFonts w:cstheme="minorHAnsi"/>
          <w:sz w:val="24"/>
          <w:szCs w:val="24"/>
        </w:rPr>
        <w:t xml:space="preserve">Background information on the Southeast Climate Science Center can be found at </w:t>
      </w:r>
      <w:hyperlink r:id="rId5" w:history="1">
        <w:r w:rsidRPr="00467E05">
          <w:rPr>
            <w:rStyle w:val="Hyperlink"/>
            <w:rFonts w:cstheme="minorHAnsi"/>
            <w:sz w:val="24"/>
            <w:szCs w:val="24"/>
          </w:rPr>
          <w:t>http://www.theglobalchangeforum.org/se-csc/</w:t>
        </w:r>
      </w:hyperlink>
      <w:r w:rsidRPr="00467E05">
        <w:rPr>
          <w:rFonts w:cstheme="minorHAnsi"/>
          <w:sz w:val="24"/>
          <w:szCs w:val="24"/>
        </w:rPr>
        <w:t xml:space="preserve"> .</w:t>
      </w:r>
    </w:p>
    <w:p w:rsidR="002E0466" w:rsidRPr="00467E05" w:rsidRDefault="002E0466" w:rsidP="002E0466">
      <w:pPr>
        <w:pStyle w:val="ListParagraph"/>
        <w:spacing w:after="0" w:line="240" w:lineRule="auto"/>
        <w:ind w:left="360"/>
        <w:rPr>
          <w:rFonts w:cstheme="minorHAnsi"/>
          <w:sz w:val="24"/>
          <w:szCs w:val="24"/>
        </w:rPr>
      </w:pPr>
    </w:p>
    <w:p w:rsidR="002E0466" w:rsidRPr="00467E05" w:rsidRDefault="002E0466" w:rsidP="002E0466">
      <w:pPr>
        <w:pStyle w:val="ListParagraph"/>
        <w:numPr>
          <w:ilvl w:val="0"/>
          <w:numId w:val="1"/>
        </w:numPr>
        <w:spacing w:after="0" w:line="240" w:lineRule="auto"/>
        <w:rPr>
          <w:rFonts w:cstheme="minorHAnsi"/>
          <w:sz w:val="24"/>
          <w:szCs w:val="24"/>
        </w:rPr>
      </w:pPr>
      <w:r w:rsidRPr="00467E05">
        <w:rPr>
          <w:rFonts w:cstheme="minorHAnsi"/>
          <w:sz w:val="24"/>
          <w:szCs w:val="24"/>
        </w:rPr>
        <w:t>The Southeast Climate Science Center will host a question and answer session pertaining to this solicitation on:</w:t>
      </w:r>
    </w:p>
    <w:p w:rsidR="002E0466" w:rsidRPr="00467E05" w:rsidRDefault="002E0466" w:rsidP="002E0466">
      <w:pPr>
        <w:spacing w:after="0" w:line="240" w:lineRule="auto"/>
        <w:ind w:left="450"/>
        <w:rPr>
          <w:rFonts w:cstheme="minorHAnsi"/>
          <w:sz w:val="24"/>
          <w:szCs w:val="24"/>
        </w:rPr>
      </w:pPr>
      <w:r w:rsidRPr="00467E05">
        <w:rPr>
          <w:rFonts w:cstheme="minorHAnsi"/>
          <w:sz w:val="24"/>
          <w:szCs w:val="24"/>
        </w:rPr>
        <w:t>Wednesday, January 23, 2012, 11:00am Eastern time</w:t>
      </w:r>
    </w:p>
    <w:p w:rsidR="002E0466" w:rsidRPr="00467E05" w:rsidRDefault="002E0466" w:rsidP="002E0466">
      <w:pPr>
        <w:spacing w:after="0" w:line="240" w:lineRule="auto"/>
        <w:ind w:left="450"/>
        <w:rPr>
          <w:rFonts w:cstheme="minorHAnsi"/>
          <w:sz w:val="24"/>
          <w:szCs w:val="24"/>
        </w:rPr>
      </w:pPr>
      <w:r w:rsidRPr="00467E05">
        <w:rPr>
          <w:rFonts w:cstheme="minorHAnsi"/>
          <w:sz w:val="24"/>
          <w:szCs w:val="24"/>
        </w:rPr>
        <w:t>Thursday, January 24, 2012, 11:00am Eastern time</w:t>
      </w:r>
    </w:p>
    <w:p w:rsidR="002E0466" w:rsidRPr="00467E05" w:rsidRDefault="002E0466" w:rsidP="002E0466">
      <w:pPr>
        <w:pStyle w:val="ListParagraph"/>
        <w:tabs>
          <w:tab w:val="left" w:pos="1"/>
          <w:tab w:val="left" w:pos="720"/>
        </w:tabs>
        <w:spacing w:after="0" w:line="240" w:lineRule="auto"/>
        <w:ind w:left="360"/>
        <w:rPr>
          <w:rFonts w:cstheme="minorHAnsi"/>
          <w:sz w:val="24"/>
          <w:szCs w:val="24"/>
        </w:rPr>
      </w:pPr>
    </w:p>
    <w:p w:rsidR="002E0466" w:rsidRPr="00467E05" w:rsidRDefault="002E0466" w:rsidP="002E0466">
      <w:pPr>
        <w:pStyle w:val="ListParagraph"/>
        <w:numPr>
          <w:ilvl w:val="0"/>
          <w:numId w:val="1"/>
        </w:numPr>
        <w:tabs>
          <w:tab w:val="left" w:pos="1"/>
          <w:tab w:val="left" w:pos="720"/>
        </w:tabs>
        <w:spacing w:after="0" w:line="240" w:lineRule="auto"/>
        <w:rPr>
          <w:rFonts w:cstheme="minorHAnsi"/>
          <w:sz w:val="24"/>
          <w:szCs w:val="24"/>
        </w:rPr>
      </w:pPr>
      <w:r w:rsidRPr="00467E05">
        <w:rPr>
          <w:rFonts w:cstheme="minorHAnsi"/>
          <w:sz w:val="24"/>
          <w:szCs w:val="24"/>
        </w:rPr>
        <w:t xml:space="preserve">NOTE ON SUBMISSIONS THAT INCLUDE PI’S FROM UNIVERSITIES OTHER THAN NC STATE:  All proposals that include investigators at a university other than NC State must be submitted by a faculty member at NC State University who is a PI on the proposal. Applicants from other academic institutions must include an amount to cover indirect costs at NC State for this pass through.  It is the policy of NC State to apply indirect charges (in the amount of 51.5% ) to the first $25,000 any funds passed through to a another institution. Please include the appropriate indirect charges on the budget sheets for your proposal. </w:t>
      </w:r>
    </w:p>
    <w:p w:rsidR="003A576F" w:rsidRPr="002E0466" w:rsidRDefault="002E0466" w:rsidP="002E0466">
      <w:pPr>
        <w:spacing w:after="0" w:line="240" w:lineRule="auto"/>
        <w:rPr>
          <w:rFonts w:eastAsia="Calibri" w:cstheme="minorHAnsi"/>
          <w:b/>
          <w:bCs/>
          <w:sz w:val="24"/>
          <w:szCs w:val="24"/>
        </w:rPr>
      </w:pPr>
    </w:p>
    <w:sectPr w:rsidR="003A576F" w:rsidRPr="002E0466" w:rsidSect="009C4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A058B"/>
    <w:multiLevelType w:val="hybridMultilevel"/>
    <w:tmpl w:val="C450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75F61"/>
    <w:multiLevelType w:val="hybridMultilevel"/>
    <w:tmpl w:val="FD1CC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66"/>
    <w:rsid w:val="002E0466"/>
    <w:rsid w:val="00814CFE"/>
    <w:rsid w:val="009C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01358"/>
  <w15:chartTrackingRefBased/>
  <w15:docId w15:val="{D1CA441C-88D0-AB4D-A79C-3F2A6964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0466"/>
    <w:rPr>
      <w:color w:val="0000FF"/>
      <w:u w:val="single"/>
    </w:rPr>
  </w:style>
  <w:style w:type="paragraph" w:styleId="ListParagraph">
    <w:name w:val="List Paragraph"/>
    <w:basedOn w:val="Normal"/>
    <w:uiPriority w:val="34"/>
    <w:qFormat/>
    <w:rsid w:val="002E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lobalchangeforum.org/se-c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Company>US Geological Survey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 Boyles</dc:creator>
  <cp:keywords/>
  <dc:description/>
  <cp:lastModifiedBy>Ryan P Boyles</cp:lastModifiedBy>
  <cp:revision>1</cp:revision>
  <dcterms:created xsi:type="dcterms:W3CDTF">2020-12-01T14:29:00Z</dcterms:created>
  <dcterms:modified xsi:type="dcterms:W3CDTF">2020-12-01T14:30:00Z</dcterms:modified>
</cp:coreProperties>
</file>